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5F6" w:rsidRDefault="00ED35F6">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ED35F6" w:rsidRDefault="00ED35F6">
      <w:pPr>
        <w:pStyle w:val="ConsPlusNormal"/>
        <w:outlineLvl w:val="0"/>
      </w:pPr>
    </w:p>
    <w:p w:rsidR="00ED35F6" w:rsidRDefault="00ED35F6">
      <w:pPr>
        <w:pStyle w:val="ConsPlusTitle"/>
        <w:jc w:val="center"/>
        <w:outlineLvl w:val="0"/>
      </w:pPr>
      <w:r>
        <w:t>МИНИСТЕРСТВО СЕЛЬСКОГО ХОЗЯЙСТВА</w:t>
      </w:r>
    </w:p>
    <w:p w:rsidR="00ED35F6" w:rsidRDefault="00ED35F6">
      <w:pPr>
        <w:pStyle w:val="ConsPlusTitle"/>
        <w:jc w:val="center"/>
      </w:pPr>
      <w:r>
        <w:t>И ПОТРЕБИТЕЛЬСКОГО РЫНКА РЕСПУБЛИКИ КОМИ</w:t>
      </w:r>
    </w:p>
    <w:p w:rsidR="00ED35F6" w:rsidRDefault="00ED35F6">
      <w:pPr>
        <w:pStyle w:val="ConsPlusTitle"/>
        <w:jc w:val="center"/>
      </w:pPr>
    </w:p>
    <w:p w:rsidR="00ED35F6" w:rsidRDefault="00ED35F6">
      <w:pPr>
        <w:pStyle w:val="ConsPlusTitle"/>
        <w:jc w:val="center"/>
      </w:pPr>
      <w:r>
        <w:t>ПРИКАЗ</w:t>
      </w:r>
    </w:p>
    <w:p w:rsidR="00ED35F6" w:rsidRDefault="00ED35F6">
      <w:pPr>
        <w:pStyle w:val="ConsPlusTitle"/>
        <w:jc w:val="center"/>
      </w:pPr>
      <w:r>
        <w:t>от 17 февраля 2017 г. N 125</w:t>
      </w:r>
    </w:p>
    <w:p w:rsidR="00ED35F6" w:rsidRDefault="00ED35F6">
      <w:pPr>
        <w:pStyle w:val="ConsPlusTitle"/>
        <w:jc w:val="center"/>
      </w:pPr>
    </w:p>
    <w:p w:rsidR="00ED35F6" w:rsidRDefault="00ED35F6">
      <w:pPr>
        <w:pStyle w:val="ConsPlusTitle"/>
        <w:jc w:val="center"/>
      </w:pPr>
      <w:r>
        <w:t>О ПОРЯДКЕ РАЗРАБОТКИ И УТВЕРЖДЕНИЯ СХЕМ РАЗМЕЩЕНИЯ</w:t>
      </w:r>
    </w:p>
    <w:p w:rsidR="00ED35F6" w:rsidRDefault="00ED35F6">
      <w:pPr>
        <w:pStyle w:val="ConsPlusTitle"/>
        <w:jc w:val="center"/>
      </w:pPr>
      <w:r>
        <w:t>НЕСТАЦИОНАРНЫХ ТОРГОВЫХ ОБЪЕКТОВ НА ТЕРРИТОРИИ</w:t>
      </w:r>
    </w:p>
    <w:p w:rsidR="00ED35F6" w:rsidRDefault="00ED35F6">
      <w:pPr>
        <w:pStyle w:val="ConsPlusTitle"/>
        <w:jc w:val="center"/>
      </w:pPr>
      <w:r>
        <w:t>МУНИЦИПАЛЬНЫХ ОБРАЗОВАНИЙ В РЕСПУБЛИКЕ КОМИ</w:t>
      </w:r>
    </w:p>
    <w:p w:rsidR="00ED35F6" w:rsidRDefault="00ED35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5"/>
        <w:gridCol w:w="113"/>
      </w:tblGrid>
      <w:tr w:rsidR="00ED35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35F6" w:rsidRDefault="00ED35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35F6" w:rsidRDefault="00ED35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35F6" w:rsidRDefault="00ED35F6">
            <w:pPr>
              <w:pStyle w:val="ConsPlusNormal"/>
              <w:jc w:val="center"/>
            </w:pPr>
            <w:r>
              <w:rPr>
                <w:color w:val="392C69"/>
              </w:rPr>
              <w:t>Список изменяющих документов</w:t>
            </w:r>
          </w:p>
          <w:p w:rsidR="00ED35F6" w:rsidRDefault="00ED35F6">
            <w:pPr>
              <w:pStyle w:val="ConsPlusNormal"/>
              <w:jc w:val="center"/>
            </w:pPr>
            <w:proofErr w:type="gramStart"/>
            <w:r>
              <w:rPr>
                <w:color w:val="392C69"/>
              </w:rPr>
              <w:t xml:space="preserve">(в ред. Приказов Минсельхоза Республики Коми от 31.03.2021 </w:t>
            </w:r>
            <w:hyperlink r:id="rId6">
              <w:r>
                <w:rPr>
                  <w:color w:val="0000FF"/>
                </w:rPr>
                <w:t>N 283</w:t>
              </w:r>
            </w:hyperlink>
            <w:r>
              <w:rPr>
                <w:color w:val="392C69"/>
              </w:rPr>
              <w:t>,</w:t>
            </w:r>
            <w:proofErr w:type="gramEnd"/>
          </w:p>
          <w:p w:rsidR="00ED35F6" w:rsidRDefault="00ED35F6">
            <w:pPr>
              <w:pStyle w:val="ConsPlusNormal"/>
              <w:jc w:val="center"/>
            </w:pPr>
            <w:r>
              <w:rPr>
                <w:color w:val="392C69"/>
              </w:rPr>
              <w:t xml:space="preserve">от 18.05.2021 </w:t>
            </w:r>
            <w:hyperlink r:id="rId7">
              <w:r>
                <w:rPr>
                  <w:color w:val="0000FF"/>
                </w:rPr>
                <w:t>N 467</w:t>
              </w:r>
            </w:hyperlink>
            <w:r>
              <w:rPr>
                <w:color w:val="392C69"/>
              </w:rPr>
              <w:t xml:space="preserve">, от 15.12.2022 </w:t>
            </w:r>
            <w:hyperlink r:id="rId8">
              <w:r>
                <w:rPr>
                  <w:color w:val="0000FF"/>
                </w:rPr>
                <w:t>N 745</w:t>
              </w:r>
            </w:hyperlink>
            <w:r>
              <w:rPr>
                <w:color w:val="392C69"/>
              </w:rPr>
              <w:t xml:space="preserve">, от 27.03.2023 </w:t>
            </w:r>
            <w:hyperlink r:id="rId9">
              <w:r>
                <w:rPr>
                  <w:color w:val="0000FF"/>
                </w:rPr>
                <w:t>N 141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35F6" w:rsidRDefault="00ED35F6">
            <w:pPr>
              <w:pStyle w:val="ConsPlusNormal"/>
            </w:pPr>
          </w:p>
        </w:tc>
      </w:tr>
    </w:tbl>
    <w:p w:rsidR="00ED35F6" w:rsidRDefault="00ED35F6">
      <w:pPr>
        <w:pStyle w:val="ConsPlusNormal"/>
      </w:pPr>
    </w:p>
    <w:p w:rsidR="00ED35F6" w:rsidRDefault="00ED35F6">
      <w:pPr>
        <w:pStyle w:val="ConsPlusNormal"/>
        <w:ind w:firstLine="540"/>
        <w:jc w:val="both"/>
      </w:pPr>
      <w:r>
        <w:t xml:space="preserve">В соответствии с Федеральным </w:t>
      </w:r>
      <w:hyperlink r:id="rId10">
        <w:r>
          <w:rPr>
            <w:color w:val="0000FF"/>
          </w:rPr>
          <w:t>законом</w:t>
        </w:r>
      </w:hyperlink>
      <w:r>
        <w:t xml:space="preserve"> "Об основах государственного регулирования торговой деятельности в Российской Федерации", </w:t>
      </w:r>
      <w:hyperlink r:id="rId11">
        <w:r>
          <w:rPr>
            <w:color w:val="0000FF"/>
          </w:rPr>
          <w:t>постановлением</w:t>
        </w:r>
      </w:hyperlink>
      <w:r>
        <w:t xml:space="preserve"> Правительства Республики Коми от 12 апреля 2010 г. N 98 "Об определении уполномоченного органа исполнительной власти Республики Коми в области государственного регулирования торговой деятельности в Республике Коми" приказываю:</w:t>
      </w:r>
    </w:p>
    <w:p w:rsidR="00ED35F6" w:rsidRDefault="00ED35F6">
      <w:pPr>
        <w:pStyle w:val="ConsPlusNormal"/>
        <w:spacing w:before="220"/>
        <w:ind w:firstLine="540"/>
        <w:jc w:val="both"/>
      </w:pPr>
      <w:r>
        <w:t xml:space="preserve">1. Утвердить </w:t>
      </w:r>
      <w:hyperlink w:anchor="P38">
        <w:r>
          <w:rPr>
            <w:color w:val="0000FF"/>
          </w:rPr>
          <w:t>Порядок</w:t>
        </w:r>
      </w:hyperlink>
      <w:r>
        <w:t xml:space="preserve"> разработки и утверждения схем размещения нестационарных торговых объектов на территории муниципальных образований в Республике Коми согласно приложению к настоящему Приказу.</w:t>
      </w:r>
    </w:p>
    <w:p w:rsidR="00ED35F6" w:rsidRDefault="00ED35F6">
      <w:pPr>
        <w:pStyle w:val="ConsPlusNormal"/>
        <w:spacing w:before="220"/>
        <w:ind w:firstLine="540"/>
        <w:jc w:val="both"/>
      </w:pPr>
      <w:r>
        <w:t xml:space="preserve">2. </w:t>
      </w:r>
      <w:proofErr w:type="gramStart"/>
      <w:r>
        <w:t>Контроль за</w:t>
      </w:r>
      <w:proofErr w:type="gramEnd"/>
      <w:r>
        <w:t xml:space="preserve"> исполнением настоящего приказа возложить на заместителя министра Кислякова И.А.</w:t>
      </w:r>
    </w:p>
    <w:p w:rsidR="00ED35F6" w:rsidRDefault="00ED35F6">
      <w:pPr>
        <w:pStyle w:val="ConsPlusNormal"/>
        <w:jc w:val="both"/>
      </w:pPr>
      <w:r>
        <w:t xml:space="preserve">(п. 2 в ред. </w:t>
      </w:r>
      <w:hyperlink r:id="rId12">
        <w:r>
          <w:rPr>
            <w:color w:val="0000FF"/>
          </w:rPr>
          <w:t>Приказа</w:t>
        </w:r>
      </w:hyperlink>
      <w:r>
        <w:t xml:space="preserve"> Минсельхоза Республики Коми от 27.03.2023 N 141)</w:t>
      </w:r>
    </w:p>
    <w:p w:rsidR="00ED35F6" w:rsidRDefault="00ED35F6">
      <w:pPr>
        <w:pStyle w:val="ConsPlusNormal"/>
      </w:pPr>
    </w:p>
    <w:p w:rsidR="00ED35F6" w:rsidRDefault="00ED35F6">
      <w:pPr>
        <w:pStyle w:val="ConsPlusNormal"/>
        <w:jc w:val="right"/>
      </w:pPr>
      <w:r>
        <w:t>Заместитель Председателя</w:t>
      </w:r>
    </w:p>
    <w:p w:rsidR="00ED35F6" w:rsidRDefault="00ED35F6">
      <w:pPr>
        <w:pStyle w:val="ConsPlusNormal"/>
        <w:jc w:val="right"/>
      </w:pPr>
      <w:r>
        <w:t>Правительства Республики Коми -</w:t>
      </w:r>
    </w:p>
    <w:p w:rsidR="00ED35F6" w:rsidRDefault="00ED35F6">
      <w:pPr>
        <w:pStyle w:val="ConsPlusNormal"/>
        <w:jc w:val="right"/>
      </w:pPr>
      <w:r>
        <w:t>министр сельского хозяйства</w:t>
      </w:r>
    </w:p>
    <w:p w:rsidR="00ED35F6" w:rsidRDefault="00ED35F6">
      <w:pPr>
        <w:pStyle w:val="ConsPlusNormal"/>
        <w:jc w:val="right"/>
      </w:pPr>
      <w:r>
        <w:t>и потребительского рынка</w:t>
      </w:r>
    </w:p>
    <w:p w:rsidR="00ED35F6" w:rsidRDefault="00ED35F6">
      <w:pPr>
        <w:pStyle w:val="ConsPlusNormal"/>
        <w:jc w:val="right"/>
      </w:pPr>
      <w:r>
        <w:t>Республики Коми</w:t>
      </w:r>
    </w:p>
    <w:p w:rsidR="00ED35F6" w:rsidRDefault="00ED35F6">
      <w:pPr>
        <w:pStyle w:val="ConsPlusNormal"/>
        <w:jc w:val="right"/>
      </w:pPr>
      <w:r>
        <w:t>А.КНЯЗЕВ</w:t>
      </w:r>
    </w:p>
    <w:p w:rsidR="00ED35F6" w:rsidRDefault="00ED35F6">
      <w:pPr>
        <w:pStyle w:val="ConsPlusNormal"/>
      </w:pPr>
    </w:p>
    <w:p w:rsidR="00ED35F6" w:rsidRDefault="00ED35F6">
      <w:pPr>
        <w:pStyle w:val="ConsPlusNormal"/>
      </w:pPr>
    </w:p>
    <w:p w:rsidR="00ED35F6" w:rsidRDefault="00ED35F6">
      <w:pPr>
        <w:pStyle w:val="ConsPlusNormal"/>
      </w:pPr>
    </w:p>
    <w:p w:rsidR="00ED35F6" w:rsidRDefault="00ED35F6">
      <w:pPr>
        <w:pStyle w:val="ConsPlusNormal"/>
      </w:pPr>
    </w:p>
    <w:p w:rsidR="00ED35F6" w:rsidRDefault="00ED35F6">
      <w:pPr>
        <w:pStyle w:val="ConsPlusNormal"/>
      </w:pPr>
    </w:p>
    <w:p w:rsidR="00ED35F6" w:rsidRDefault="00ED35F6">
      <w:pPr>
        <w:pStyle w:val="ConsPlusNormal"/>
      </w:pPr>
    </w:p>
    <w:p w:rsidR="00ED35F6" w:rsidRDefault="00ED35F6">
      <w:pPr>
        <w:pStyle w:val="ConsPlusNormal"/>
      </w:pPr>
    </w:p>
    <w:p w:rsidR="00ED35F6" w:rsidRDefault="00ED35F6">
      <w:pPr>
        <w:pStyle w:val="ConsPlusNormal"/>
      </w:pPr>
    </w:p>
    <w:p w:rsidR="00ED35F6" w:rsidRDefault="00ED35F6">
      <w:pPr>
        <w:pStyle w:val="ConsPlusNormal"/>
      </w:pPr>
    </w:p>
    <w:p w:rsidR="00ED35F6" w:rsidRDefault="00ED35F6">
      <w:pPr>
        <w:pStyle w:val="ConsPlusNormal"/>
      </w:pPr>
    </w:p>
    <w:p w:rsidR="00ED35F6" w:rsidRDefault="00ED35F6">
      <w:pPr>
        <w:pStyle w:val="ConsPlusNormal"/>
      </w:pPr>
    </w:p>
    <w:p w:rsidR="00ED35F6" w:rsidRDefault="00ED35F6">
      <w:pPr>
        <w:pStyle w:val="ConsPlusNormal"/>
      </w:pPr>
    </w:p>
    <w:p w:rsidR="00ED35F6" w:rsidRDefault="00ED35F6">
      <w:pPr>
        <w:pStyle w:val="ConsPlusNormal"/>
      </w:pPr>
    </w:p>
    <w:p w:rsidR="00ED35F6" w:rsidRDefault="00ED35F6">
      <w:pPr>
        <w:pStyle w:val="ConsPlusNormal"/>
      </w:pPr>
    </w:p>
    <w:p w:rsidR="00ED35F6" w:rsidRDefault="00ED35F6">
      <w:pPr>
        <w:pStyle w:val="ConsPlusNormal"/>
      </w:pPr>
    </w:p>
    <w:p w:rsidR="00ED35F6" w:rsidRDefault="00ED35F6">
      <w:pPr>
        <w:pStyle w:val="ConsPlusNormal"/>
      </w:pPr>
    </w:p>
    <w:p w:rsidR="00ED35F6" w:rsidRDefault="00ED35F6">
      <w:pPr>
        <w:pStyle w:val="ConsPlusNormal"/>
      </w:pPr>
    </w:p>
    <w:p w:rsidR="00ED35F6" w:rsidRDefault="00ED35F6">
      <w:pPr>
        <w:pStyle w:val="ConsPlusNormal"/>
      </w:pPr>
    </w:p>
    <w:p w:rsidR="00ED35F6" w:rsidRDefault="00ED35F6">
      <w:pPr>
        <w:pStyle w:val="ConsPlusNormal"/>
      </w:pPr>
      <w:bookmarkStart w:id="0" w:name="_GoBack"/>
      <w:bookmarkEnd w:id="0"/>
    </w:p>
    <w:p w:rsidR="00ED35F6" w:rsidRDefault="00ED35F6">
      <w:pPr>
        <w:pStyle w:val="ConsPlusNormal"/>
      </w:pPr>
    </w:p>
    <w:p w:rsidR="00ED35F6" w:rsidRDefault="00ED35F6">
      <w:pPr>
        <w:pStyle w:val="ConsPlusNormal"/>
      </w:pPr>
    </w:p>
    <w:p w:rsidR="00ED35F6" w:rsidRDefault="00ED35F6">
      <w:pPr>
        <w:pStyle w:val="ConsPlusNormal"/>
      </w:pPr>
    </w:p>
    <w:p w:rsidR="00ED35F6" w:rsidRDefault="00ED35F6">
      <w:pPr>
        <w:pStyle w:val="ConsPlusNormal"/>
        <w:jc w:val="right"/>
        <w:outlineLvl w:val="0"/>
      </w:pPr>
      <w:r>
        <w:t>Утвержден</w:t>
      </w:r>
    </w:p>
    <w:p w:rsidR="00ED35F6" w:rsidRDefault="00ED35F6">
      <w:pPr>
        <w:pStyle w:val="ConsPlusNormal"/>
        <w:jc w:val="right"/>
      </w:pPr>
      <w:r>
        <w:t>Приказом</w:t>
      </w:r>
    </w:p>
    <w:p w:rsidR="00ED35F6" w:rsidRDefault="00ED35F6">
      <w:pPr>
        <w:pStyle w:val="ConsPlusNormal"/>
        <w:jc w:val="right"/>
      </w:pPr>
      <w:r>
        <w:t>Министерства</w:t>
      </w:r>
    </w:p>
    <w:p w:rsidR="00ED35F6" w:rsidRDefault="00ED35F6">
      <w:pPr>
        <w:pStyle w:val="ConsPlusNormal"/>
        <w:jc w:val="right"/>
      </w:pPr>
      <w:r>
        <w:lastRenderedPageBreak/>
        <w:t>сельского хозяйства</w:t>
      </w:r>
    </w:p>
    <w:p w:rsidR="00ED35F6" w:rsidRDefault="00ED35F6">
      <w:pPr>
        <w:pStyle w:val="ConsPlusNormal"/>
        <w:jc w:val="right"/>
      </w:pPr>
      <w:r>
        <w:t>и потребительского рынка</w:t>
      </w:r>
    </w:p>
    <w:p w:rsidR="00ED35F6" w:rsidRDefault="00ED35F6">
      <w:pPr>
        <w:pStyle w:val="ConsPlusNormal"/>
        <w:jc w:val="right"/>
      </w:pPr>
      <w:r>
        <w:t>Республики Коми</w:t>
      </w:r>
    </w:p>
    <w:p w:rsidR="00ED35F6" w:rsidRDefault="00ED35F6">
      <w:pPr>
        <w:pStyle w:val="ConsPlusNormal"/>
        <w:jc w:val="right"/>
      </w:pPr>
      <w:r>
        <w:t>от 17 февраля 2017 г. N 125</w:t>
      </w:r>
    </w:p>
    <w:p w:rsidR="00ED35F6" w:rsidRDefault="00ED35F6">
      <w:pPr>
        <w:pStyle w:val="ConsPlusNormal"/>
      </w:pPr>
    </w:p>
    <w:p w:rsidR="00ED35F6" w:rsidRDefault="00ED35F6">
      <w:pPr>
        <w:pStyle w:val="ConsPlusTitle"/>
        <w:jc w:val="center"/>
      </w:pPr>
      <w:bookmarkStart w:id="1" w:name="P38"/>
      <w:bookmarkEnd w:id="1"/>
      <w:r>
        <w:t>ПОРЯДОК</w:t>
      </w:r>
    </w:p>
    <w:p w:rsidR="00ED35F6" w:rsidRDefault="00ED35F6">
      <w:pPr>
        <w:pStyle w:val="ConsPlusTitle"/>
        <w:jc w:val="center"/>
      </w:pPr>
      <w:r>
        <w:t>РАЗРАБОТКИ И УТВЕРЖДЕНИЯ СХЕМ РАЗМЕЩЕНИЯ НЕСТАЦИОНАРНЫХ</w:t>
      </w:r>
    </w:p>
    <w:p w:rsidR="00ED35F6" w:rsidRDefault="00ED35F6">
      <w:pPr>
        <w:pStyle w:val="ConsPlusTitle"/>
        <w:jc w:val="center"/>
      </w:pPr>
      <w:r>
        <w:t>ТОРГОВЫХ ОБЪЕКТОВ НА ТЕРРИТОРИИ МУНИЦИПАЛЬНЫХ ОБРАЗОВАНИЙ</w:t>
      </w:r>
    </w:p>
    <w:p w:rsidR="00ED35F6" w:rsidRDefault="00ED35F6">
      <w:pPr>
        <w:pStyle w:val="ConsPlusTitle"/>
        <w:jc w:val="center"/>
      </w:pPr>
      <w:r>
        <w:t>В РЕСПУБЛИКЕ КОМИ</w:t>
      </w:r>
    </w:p>
    <w:p w:rsidR="00ED35F6" w:rsidRDefault="00ED35F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345"/>
        <w:gridCol w:w="113"/>
      </w:tblGrid>
      <w:tr w:rsidR="00ED35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35F6" w:rsidRDefault="00ED35F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35F6" w:rsidRDefault="00ED35F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35F6" w:rsidRDefault="00ED35F6">
            <w:pPr>
              <w:pStyle w:val="ConsPlusNormal"/>
              <w:jc w:val="center"/>
            </w:pPr>
            <w:r>
              <w:rPr>
                <w:color w:val="392C69"/>
              </w:rPr>
              <w:t>Список изменяющих документов</w:t>
            </w:r>
          </w:p>
          <w:p w:rsidR="00ED35F6" w:rsidRDefault="00ED35F6">
            <w:pPr>
              <w:pStyle w:val="ConsPlusNormal"/>
              <w:jc w:val="center"/>
            </w:pPr>
            <w:proofErr w:type="gramStart"/>
            <w:r>
              <w:rPr>
                <w:color w:val="392C69"/>
              </w:rPr>
              <w:t xml:space="preserve">(в ред. Приказов Минсельхоза Республики Коми от 31.03.2021 </w:t>
            </w:r>
            <w:hyperlink r:id="rId13">
              <w:r>
                <w:rPr>
                  <w:color w:val="0000FF"/>
                </w:rPr>
                <w:t>N 283</w:t>
              </w:r>
            </w:hyperlink>
            <w:r>
              <w:rPr>
                <w:color w:val="392C69"/>
              </w:rPr>
              <w:t>,</w:t>
            </w:r>
            <w:proofErr w:type="gramEnd"/>
          </w:p>
          <w:p w:rsidR="00ED35F6" w:rsidRDefault="00ED35F6">
            <w:pPr>
              <w:pStyle w:val="ConsPlusNormal"/>
              <w:jc w:val="center"/>
            </w:pPr>
            <w:r>
              <w:rPr>
                <w:color w:val="392C69"/>
              </w:rPr>
              <w:t xml:space="preserve">от 18.05.2021 </w:t>
            </w:r>
            <w:hyperlink r:id="rId14">
              <w:r>
                <w:rPr>
                  <w:color w:val="0000FF"/>
                </w:rPr>
                <w:t>N 467</w:t>
              </w:r>
            </w:hyperlink>
            <w:r>
              <w:rPr>
                <w:color w:val="392C69"/>
              </w:rPr>
              <w:t xml:space="preserve">, от 15.12.2022 </w:t>
            </w:r>
            <w:hyperlink r:id="rId15">
              <w:r>
                <w:rPr>
                  <w:color w:val="0000FF"/>
                </w:rPr>
                <w:t>N 745</w:t>
              </w:r>
            </w:hyperlink>
            <w:r>
              <w:rPr>
                <w:color w:val="392C69"/>
              </w:rPr>
              <w:t xml:space="preserve">, от 27.03.2023 </w:t>
            </w:r>
            <w:hyperlink r:id="rId16">
              <w:r>
                <w:rPr>
                  <w:color w:val="0000FF"/>
                </w:rPr>
                <w:t>N 141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35F6" w:rsidRDefault="00ED35F6">
            <w:pPr>
              <w:pStyle w:val="ConsPlusNormal"/>
            </w:pPr>
          </w:p>
        </w:tc>
      </w:tr>
    </w:tbl>
    <w:p w:rsidR="00ED35F6" w:rsidRDefault="00ED35F6">
      <w:pPr>
        <w:pStyle w:val="ConsPlusNormal"/>
      </w:pPr>
    </w:p>
    <w:p w:rsidR="00ED35F6" w:rsidRDefault="00ED35F6">
      <w:pPr>
        <w:pStyle w:val="ConsPlusNormal"/>
        <w:ind w:firstLine="540"/>
        <w:jc w:val="both"/>
      </w:pPr>
      <w:r>
        <w:t>1. Настоящий Порядок разработки и утверждения схем размещения нестационарных торговых объектов на территории муниципальных образований в Республике Коми (далее - Порядок) устанавливает процедуру разработки и утверждения схем размещения нестационарных торговых объектов (далее - Схема) на земельных участках, в зданиях, строениях, сооружениях, находящихся в государственной или муниципальной собственности.</w:t>
      </w:r>
    </w:p>
    <w:p w:rsidR="00ED35F6" w:rsidRDefault="00ED35F6">
      <w:pPr>
        <w:pStyle w:val="ConsPlusNormal"/>
        <w:spacing w:before="220"/>
        <w:ind w:firstLine="540"/>
        <w:jc w:val="both"/>
      </w:pPr>
      <w:r>
        <w:t xml:space="preserve">Понятия и термины, используемые в настоящем Порядке, применяются в значениях, определенных Федеральным </w:t>
      </w:r>
      <w:hyperlink r:id="rId17">
        <w:r>
          <w:rPr>
            <w:color w:val="0000FF"/>
          </w:rPr>
          <w:t>законом</w:t>
        </w:r>
      </w:hyperlink>
      <w:r>
        <w:t xml:space="preserve"> "Об основах государственного регулирования торговой деятельности в Российской Федерации" и национальным </w:t>
      </w:r>
      <w:hyperlink r:id="rId18">
        <w:r>
          <w:rPr>
            <w:color w:val="0000FF"/>
          </w:rPr>
          <w:t>стандартом</w:t>
        </w:r>
      </w:hyperlink>
      <w:r>
        <w:t xml:space="preserve"> Российской Федерации "Торговля. Термины и определения" ГОСТ </w:t>
      </w:r>
      <w:proofErr w:type="gramStart"/>
      <w:r>
        <w:t>Р</w:t>
      </w:r>
      <w:proofErr w:type="gramEnd"/>
      <w:r>
        <w:t xml:space="preserve"> 51303-2013, утвержденным приказом </w:t>
      </w:r>
      <w:proofErr w:type="spellStart"/>
      <w:r>
        <w:t>Росстандарта</w:t>
      </w:r>
      <w:proofErr w:type="spellEnd"/>
      <w:r>
        <w:t xml:space="preserve"> от 28 августа 2013 г. N 582-ст.</w:t>
      </w:r>
    </w:p>
    <w:p w:rsidR="00ED35F6" w:rsidRDefault="00ED35F6">
      <w:pPr>
        <w:pStyle w:val="ConsPlusNormal"/>
        <w:spacing w:before="220"/>
        <w:ind w:firstLine="540"/>
        <w:jc w:val="both"/>
      </w:pPr>
      <w:r>
        <w:t xml:space="preserve">2. Действие настоящего Порядка не распространяется на отношения, связанные </w:t>
      </w:r>
      <w:proofErr w:type="gramStart"/>
      <w:r>
        <w:t>с</w:t>
      </w:r>
      <w:proofErr w:type="gramEnd"/>
      <w:r>
        <w:t>:</w:t>
      </w:r>
    </w:p>
    <w:p w:rsidR="00ED35F6" w:rsidRDefault="00ED35F6">
      <w:pPr>
        <w:pStyle w:val="ConsPlusNormal"/>
        <w:spacing w:before="220"/>
        <w:ind w:firstLine="540"/>
        <w:jc w:val="both"/>
      </w:pPr>
      <w:r>
        <w:t>1) осуществлением развозной торговли:</w:t>
      </w:r>
    </w:p>
    <w:p w:rsidR="00ED35F6" w:rsidRDefault="00ED35F6">
      <w:pPr>
        <w:pStyle w:val="ConsPlusNormal"/>
        <w:spacing w:before="220"/>
        <w:ind w:firstLine="540"/>
        <w:jc w:val="both"/>
      </w:pPr>
      <w:r>
        <w:t>2) размещением нестационарных торговых объектов, расположенных:</w:t>
      </w:r>
    </w:p>
    <w:p w:rsidR="00ED35F6" w:rsidRDefault="00ED35F6">
      <w:pPr>
        <w:pStyle w:val="ConsPlusNormal"/>
        <w:spacing w:before="220"/>
        <w:ind w:firstLine="540"/>
        <w:jc w:val="both"/>
      </w:pPr>
      <w:r>
        <w:t>на территории розничных рынков, ярмарок, при проведении праздничных, общественно-политических, спортивно-массовых и культурно-массовых мероприятий, имеющих краткосрочный характер;</w:t>
      </w:r>
    </w:p>
    <w:p w:rsidR="00ED35F6" w:rsidRDefault="00ED35F6">
      <w:pPr>
        <w:pStyle w:val="ConsPlusNormal"/>
        <w:spacing w:before="220"/>
        <w:ind w:firstLine="540"/>
        <w:jc w:val="both"/>
      </w:pPr>
      <w:r>
        <w:t xml:space="preserve">в стационарном торговом объекте, в ином здании, строении, сооружении или на земельном участке, </w:t>
      </w:r>
      <w:proofErr w:type="gramStart"/>
      <w:r>
        <w:t>находящихся</w:t>
      </w:r>
      <w:proofErr w:type="gramEnd"/>
      <w:r>
        <w:t xml:space="preserve"> в частной собственности. Порядок такого размещения и использования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ED35F6" w:rsidRDefault="00ED35F6">
      <w:pPr>
        <w:pStyle w:val="ConsPlusNormal"/>
        <w:spacing w:before="220"/>
        <w:ind w:firstLine="540"/>
        <w:jc w:val="both"/>
      </w:pPr>
      <w:r>
        <w:t>3. Нестационарные торговые объекты не должны ухудшать условия проживания и отдыха населения и нарушать внешний архитектурный облик сложившейся застройки.</w:t>
      </w:r>
    </w:p>
    <w:p w:rsidR="00ED35F6" w:rsidRDefault="00ED35F6">
      <w:pPr>
        <w:pStyle w:val="ConsPlusNormal"/>
        <w:spacing w:before="220"/>
        <w:ind w:firstLine="540"/>
        <w:jc w:val="both"/>
      </w:pPr>
      <w:r>
        <w:t xml:space="preserve">4. Нестационарные торговые объекты должны размещаться с учетом обеспечения свободного движения пешеходов и доступа потребителей к торговым объектам, в том числе </w:t>
      </w:r>
      <w:proofErr w:type="spellStart"/>
      <w:r>
        <w:t>безбарьерной</w:t>
      </w:r>
      <w:proofErr w:type="spellEnd"/>
      <w:r>
        <w:t xml:space="preserve"> среды жизнедеятельности для инвалидов и иных маломобильных групп населения, беспрепятственный подъезд спецтранспорта при чрезвычайных ситуациях.</w:t>
      </w:r>
    </w:p>
    <w:p w:rsidR="00ED35F6" w:rsidRDefault="00ED35F6">
      <w:pPr>
        <w:pStyle w:val="ConsPlusNormal"/>
        <w:spacing w:before="220"/>
        <w:ind w:firstLine="540"/>
        <w:jc w:val="both"/>
      </w:pPr>
      <w:r>
        <w:t>5. При размещении нестационарного торгового объекта должно быть обеспечено благоустройство прилегающей территории в соответствии с правилами благоустройства территории муниципального образования.</w:t>
      </w:r>
    </w:p>
    <w:p w:rsidR="00ED35F6" w:rsidRDefault="00ED35F6">
      <w:pPr>
        <w:pStyle w:val="ConsPlusNormal"/>
        <w:spacing w:before="220"/>
        <w:ind w:firstLine="540"/>
        <w:jc w:val="both"/>
      </w:pPr>
      <w:r>
        <w:t>6. Размещение торгового оборудования (столы, стулья, прилавки и другие подобные объекты) допускается только в пределах нестационарного торгового объекта.</w:t>
      </w:r>
    </w:p>
    <w:p w:rsidR="00ED35F6" w:rsidRDefault="00ED35F6">
      <w:pPr>
        <w:pStyle w:val="ConsPlusNormal"/>
        <w:spacing w:before="220"/>
        <w:ind w:firstLine="540"/>
        <w:jc w:val="both"/>
      </w:pPr>
      <w:r>
        <w:t>7. Размещение нестационарных торговых объектов должно соответствовать региональным и местным нормативам градостроительного проектирования с учетом их размещения:</w:t>
      </w:r>
    </w:p>
    <w:p w:rsidR="00ED35F6" w:rsidRDefault="00ED35F6">
      <w:pPr>
        <w:pStyle w:val="ConsPlusNormal"/>
        <w:spacing w:before="220"/>
        <w:ind w:firstLine="540"/>
        <w:jc w:val="both"/>
      </w:pPr>
      <w:r>
        <w:t>вне посадочных площадок остановок общественного транспорта;</w:t>
      </w:r>
    </w:p>
    <w:p w:rsidR="00ED35F6" w:rsidRDefault="00ED35F6">
      <w:pPr>
        <w:pStyle w:val="ConsPlusNormal"/>
        <w:spacing w:before="220"/>
        <w:ind w:firstLine="540"/>
        <w:jc w:val="both"/>
      </w:pPr>
      <w:r>
        <w:t>вне полос отвода автомобильных дорог;</w:t>
      </w:r>
    </w:p>
    <w:p w:rsidR="00ED35F6" w:rsidRDefault="00ED35F6">
      <w:pPr>
        <w:pStyle w:val="ConsPlusNormal"/>
        <w:spacing w:before="220"/>
        <w:ind w:firstLine="540"/>
        <w:jc w:val="both"/>
      </w:pPr>
      <w:proofErr w:type="gramStart"/>
      <w:r>
        <w:lastRenderedPageBreak/>
        <w:t>вне арок зданий, газонов, цветников, клумб, площадок (детских, для отдыха, спортивных), дворовых территорий жилых зданий, мест, не оборудованных подъездами для разгрузки товара;</w:t>
      </w:r>
      <w:proofErr w:type="gramEnd"/>
    </w:p>
    <w:p w:rsidR="00ED35F6" w:rsidRDefault="00ED35F6">
      <w:pPr>
        <w:pStyle w:val="ConsPlusNormal"/>
        <w:spacing w:before="220"/>
        <w:ind w:firstLine="540"/>
        <w:jc w:val="both"/>
      </w:pPr>
      <w:r>
        <w:t>не ближе 5 метров от окон жилых и общественных зданий и витрин стационарных торговых объектов;</w:t>
      </w:r>
    </w:p>
    <w:p w:rsidR="00ED35F6" w:rsidRDefault="00ED35F6">
      <w:pPr>
        <w:pStyle w:val="ConsPlusNormal"/>
        <w:spacing w:before="220"/>
        <w:ind w:firstLine="540"/>
        <w:jc w:val="both"/>
      </w:pPr>
      <w:r>
        <w:t>вне инженерных сетей и коммуникаций, в охранных зонах инженерных сетей и коммуникаций;</w:t>
      </w:r>
    </w:p>
    <w:p w:rsidR="00ED35F6" w:rsidRDefault="00ED35F6">
      <w:pPr>
        <w:pStyle w:val="ConsPlusNormal"/>
        <w:spacing w:before="220"/>
        <w:ind w:firstLine="540"/>
        <w:jc w:val="both"/>
      </w:pPr>
      <w:r>
        <w:t>вне железнодорожных путепроводов;</w:t>
      </w:r>
    </w:p>
    <w:p w:rsidR="00ED35F6" w:rsidRDefault="00ED35F6">
      <w:pPr>
        <w:pStyle w:val="ConsPlusNormal"/>
        <w:spacing w:before="220"/>
        <w:ind w:firstLine="540"/>
        <w:jc w:val="both"/>
      </w:pPr>
      <w:r>
        <w:t>не ближе 25 метров от мест сбора мусора и пищевых отходов, дворовых уборных, выгребных ям;</w:t>
      </w:r>
    </w:p>
    <w:p w:rsidR="00ED35F6" w:rsidRDefault="00ED35F6">
      <w:pPr>
        <w:pStyle w:val="ConsPlusNormal"/>
        <w:spacing w:before="220"/>
        <w:ind w:firstLine="540"/>
        <w:jc w:val="both"/>
      </w:pPr>
      <w:r>
        <w:t>при ширине пешеходных зон (тротуаров) более 3 метров;</w:t>
      </w:r>
    </w:p>
    <w:p w:rsidR="00ED35F6" w:rsidRDefault="00ED35F6">
      <w:pPr>
        <w:pStyle w:val="ConsPlusNormal"/>
        <w:spacing w:before="220"/>
        <w:ind w:firstLine="540"/>
        <w:jc w:val="both"/>
      </w:pPr>
      <w:r>
        <w:t>обеспечивающего подъезд пожарной, аварийно-спасательной техники или доступ к объектам инженерной инфраструктуры (объекты энергоснабжения и освещения, колодцы, краны, гидранты и другие).</w:t>
      </w:r>
    </w:p>
    <w:p w:rsidR="00ED35F6" w:rsidRDefault="00ED35F6">
      <w:pPr>
        <w:pStyle w:val="ConsPlusNormal"/>
        <w:spacing w:before="220"/>
        <w:ind w:firstLine="540"/>
        <w:jc w:val="both"/>
      </w:pPr>
      <w:r>
        <w:t>8. Схема разрабатывается и утверждается органом местного самоуправления муниципального района, городского округа в Республике Коми, определенным в соответствии с уставом муниципального образования (далее - уполномоченный орган местного самоуправления), с учетом предложений органов местного самоуправления городских и сельских поселений, входящих в состав муниципального района или городского округа.</w:t>
      </w:r>
    </w:p>
    <w:p w:rsidR="00ED35F6" w:rsidRDefault="00ED35F6">
      <w:pPr>
        <w:pStyle w:val="ConsPlusNormal"/>
        <w:spacing w:before="220"/>
        <w:ind w:firstLine="540"/>
        <w:jc w:val="both"/>
      </w:pPr>
      <w:r>
        <w:t>9. При разработке Схемы уполномоченный орган местного самоуправления должен учитывать:</w:t>
      </w:r>
    </w:p>
    <w:p w:rsidR="00ED35F6" w:rsidRDefault="00ED35F6">
      <w:pPr>
        <w:pStyle w:val="ConsPlusNormal"/>
        <w:spacing w:before="220"/>
        <w:ind w:firstLine="540"/>
        <w:jc w:val="both"/>
      </w:pPr>
      <w:proofErr w:type="gramStart"/>
      <w:r>
        <w:t>требования земельного законодательства, законодательства в области охраны окружающей среды, в области охраны и использования особо охраняемых природных территорий, в области сохранения, использования, популяризации и охраны объектов культурного наследия, в области обеспечения санитарно-эпидемиологического благополучия населения, законодательства о градостроительной деятельности, о пожарной безопасности, о государственном регулировании производства и оборота этилового спирта, алкогольной и спиртосодержащей продукции и иные, предусмотренные законодательством Российской Федерации, требования</w:t>
      </w:r>
      <w:proofErr w:type="gramEnd"/>
      <w:r>
        <w:t>;</w:t>
      </w:r>
    </w:p>
    <w:p w:rsidR="00ED35F6" w:rsidRDefault="00ED35F6">
      <w:pPr>
        <w:pStyle w:val="ConsPlusNormal"/>
        <w:spacing w:before="220"/>
        <w:ind w:firstLine="540"/>
        <w:jc w:val="both"/>
      </w:pPr>
      <w:r>
        <w:t>нормативы минимальной обеспеченности населения площадью торговых объектов и фактические показатели обеспеченности;</w:t>
      </w:r>
    </w:p>
    <w:p w:rsidR="00ED35F6" w:rsidRDefault="00ED35F6">
      <w:pPr>
        <w:pStyle w:val="ConsPlusNormal"/>
        <w:spacing w:before="220"/>
        <w:ind w:firstLine="540"/>
        <w:jc w:val="both"/>
      </w:pPr>
      <w:r>
        <w:t>размещение существующих стационарных торговых объектов.</w:t>
      </w:r>
    </w:p>
    <w:p w:rsidR="00ED35F6" w:rsidRDefault="00ED35F6">
      <w:pPr>
        <w:pStyle w:val="ConsPlusNormal"/>
        <w:spacing w:before="220"/>
        <w:ind w:firstLine="540"/>
        <w:jc w:val="both"/>
      </w:pPr>
      <w:r>
        <w:t>10. Схемами, разработанными и утвержденными уполномоченными органами местного самоуправления,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ED35F6" w:rsidRDefault="00ED35F6">
      <w:pPr>
        <w:pStyle w:val="ConsPlusNormal"/>
        <w:jc w:val="both"/>
      </w:pPr>
      <w:r>
        <w:t>(</w:t>
      </w:r>
      <w:proofErr w:type="gramStart"/>
      <w:r>
        <w:t>п</w:t>
      </w:r>
      <w:proofErr w:type="gramEnd"/>
      <w:r>
        <w:t xml:space="preserve">. 10 в ред. </w:t>
      </w:r>
      <w:hyperlink r:id="rId19">
        <w:r>
          <w:rPr>
            <w:color w:val="0000FF"/>
          </w:rPr>
          <w:t>Приказа</w:t>
        </w:r>
      </w:hyperlink>
      <w:r>
        <w:t xml:space="preserve"> Минсельхоза Республики Коми от 27.03.2023 N 141)</w:t>
      </w:r>
    </w:p>
    <w:p w:rsidR="00ED35F6" w:rsidRDefault="00ED35F6">
      <w:pPr>
        <w:pStyle w:val="ConsPlusNormal"/>
        <w:spacing w:before="220"/>
        <w:ind w:firstLine="540"/>
        <w:jc w:val="both"/>
      </w:pPr>
      <w:r>
        <w:t>11. Включение в Схему нестационарных торговых объектов, расположенных на земельных участках, в зданиях, строениях, сооружениях, находящихся в государственной собственности, осуществляется в соответствии с порядком, установленным Правительством Российской Федерации.</w:t>
      </w:r>
    </w:p>
    <w:p w:rsidR="00ED35F6" w:rsidRDefault="00ED35F6">
      <w:pPr>
        <w:pStyle w:val="ConsPlusNormal"/>
        <w:spacing w:before="220"/>
        <w:ind w:firstLine="540"/>
        <w:jc w:val="both"/>
      </w:pPr>
      <w:r>
        <w:t>12. Порядок размещения нестационарных торговых объектов на территории муниципального района и городского округа в соответствии со Схемой устанавливается уполномоченным органом местного самоуправления.</w:t>
      </w:r>
    </w:p>
    <w:p w:rsidR="00ED35F6" w:rsidRDefault="00ED35F6">
      <w:pPr>
        <w:pStyle w:val="ConsPlusNormal"/>
        <w:spacing w:before="220"/>
        <w:ind w:firstLine="540"/>
        <w:jc w:val="both"/>
      </w:pPr>
      <w:r>
        <w:t>12-1. Орган местного самоуправления:</w:t>
      </w:r>
    </w:p>
    <w:p w:rsidR="00ED35F6" w:rsidRDefault="00ED35F6">
      <w:pPr>
        <w:pStyle w:val="ConsPlusNormal"/>
        <w:spacing w:before="220"/>
        <w:ind w:firstLine="540"/>
        <w:jc w:val="both"/>
      </w:pPr>
      <w:r>
        <w:t>а) оказывает содействие в получении юридическими и физическими лицами необходимого количества мест размещения нестационарных торговых объектов;</w:t>
      </w:r>
    </w:p>
    <w:p w:rsidR="00ED35F6" w:rsidRDefault="00ED35F6">
      <w:pPr>
        <w:pStyle w:val="ConsPlusNormal"/>
        <w:spacing w:before="220"/>
        <w:ind w:firstLine="540"/>
        <w:jc w:val="both"/>
      </w:pPr>
      <w:r>
        <w:t>б) продлевает договоры на размещение нестационарных торговых объектов без проведения торгов;</w:t>
      </w:r>
    </w:p>
    <w:p w:rsidR="00ED35F6" w:rsidRDefault="00ED35F6">
      <w:pPr>
        <w:pStyle w:val="ConsPlusNormal"/>
        <w:spacing w:before="220"/>
        <w:ind w:firstLine="540"/>
        <w:jc w:val="both"/>
      </w:pPr>
      <w:r>
        <w:t>в) обеспечивает максимальную доступность нестационарных торговых объектов для населения;</w:t>
      </w:r>
    </w:p>
    <w:p w:rsidR="00ED35F6" w:rsidRDefault="00ED35F6">
      <w:pPr>
        <w:pStyle w:val="ConsPlusNormal"/>
        <w:spacing w:before="220"/>
        <w:ind w:firstLine="540"/>
        <w:jc w:val="both"/>
      </w:pPr>
      <w:r>
        <w:t xml:space="preserve">г) содействует открытию юридическими и физическими лицами новых нестационарных торговых объектов, обращая особое внимание на необходимость увеличения количества мест размещения </w:t>
      </w:r>
      <w:r>
        <w:lastRenderedPageBreak/>
        <w:t>нестационарных торговых объектов, а также предоставления компенсационных мест для размещения таких торговых объектов;</w:t>
      </w:r>
    </w:p>
    <w:p w:rsidR="00ED35F6" w:rsidRDefault="00ED35F6">
      <w:pPr>
        <w:pStyle w:val="ConsPlusNormal"/>
        <w:spacing w:before="220"/>
        <w:ind w:firstLine="540"/>
        <w:jc w:val="both"/>
      </w:pPr>
      <w:proofErr w:type="gramStart"/>
      <w:r>
        <w:t>д) обеспечивает производителям продуктов питания, осуществляющим производственную деятельность на территории муниципального образования, в том числе крестьянским (фермерским) хозяйствам, а также гражданам, ведущим личное подсобное хозяйство, занимающимся садоводством, огородничеством, осуществляющим заготовку пищевых лесных ресурсов, возможность реализации указанной продукции в местах с высокой проходимостью, специально отведенных органами местного самоуправления, в том числе с использованием нестационарных торговых объектов, для чего обеспечивает выделение необходимого</w:t>
      </w:r>
      <w:proofErr w:type="gramEnd"/>
      <w:r>
        <w:t xml:space="preserve"> количества мест для осуществления ими торговли.</w:t>
      </w:r>
    </w:p>
    <w:p w:rsidR="00ED35F6" w:rsidRDefault="00ED35F6">
      <w:pPr>
        <w:pStyle w:val="ConsPlusNormal"/>
        <w:jc w:val="both"/>
      </w:pPr>
      <w:r>
        <w:t>(</w:t>
      </w:r>
      <w:proofErr w:type="spellStart"/>
      <w:r>
        <w:t>пп</w:t>
      </w:r>
      <w:proofErr w:type="spellEnd"/>
      <w:r>
        <w:t xml:space="preserve">. "д" в ред. </w:t>
      </w:r>
      <w:hyperlink r:id="rId20">
        <w:r>
          <w:rPr>
            <w:color w:val="0000FF"/>
          </w:rPr>
          <w:t>Приказа</w:t>
        </w:r>
      </w:hyperlink>
      <w:r>
        <w:t xml:space="preserve"> Минсельхоза Республики Коми от 15.12.2022 N 745)</w:t>
      </w:r>
    </w:p>
    <w:p w:rsidR="00ED35F6" w:rsidRDefault="00ED35F6">
      <w:pPr>
        <w:pStyle w:val="ConsPlusNormal"/>
        <w:jc w:val="both"/>
      </w:pPr>
      <w:r>
        <w:t xml:space="preserve">(п. 12-1 введен </w:t>
      </w:r>
      <w:hyperlink r:id="rId21">
        <w:r>
          <w:rPr>
            <w:color w:val="0000FF"/>
          </w:rPr>
          <w:t>Приказом</w:t>
        </w:r>
      </w:hyperlink>
      <w:r>
        <w:t xml:space="preserve"> Минсельхоза Республики Коми от 31.03.2021 N 283)</w:t>
      </w:r>
    </w:p>
    <w:p w:rsidR="00ED35F6" w:rsidRDefault="00ED35F6">
      <w:pPr>
        <w:pStyle w:val="ConsPlusNormal"/>
        <w:spacing w:before="220"/>
        <w:ind w:firstLine="540"/>
        <w:jc w:val="both"/>
      </w:pPr>
      <w:r>
        <w:t xml:space="preserve">13. </w:t>
      </w:r>
      <w:hyperlink w:anchor="P115">
        <w:r>
          <w:rPr>
            <w:color w:val="0000FF"/>
          </w:rPr>
          <w:t>Схема</w:t>
        </w:r>
      </w:hyperlink>
      <w:r>
        <w:t xml:space="preserve"> оформляется по форме согласно приложению к настоящему Порядку.</w:t>
      </w:r>
    </w:p>
    <w:p w:rsidR="00ED35F6" w:rsidRDefault="00ED35F6">
      <w:pPr>
        <w:pStyle w:val="ConsPlusNormal"/>
        <w:spacing w:before="220"/>
        <w:ind w:firstLine="540"/>
        <w:jc w:val="both"/>
      </w:pPr>
      <w:r>
        <w:t>14. Разработанная Схема утверждается муниципальным правовым актом уполномоченного органа местного самоуправления в порядке, установленном уставом муниципального образования.</w:t>
      </w:r>
    </w:p>
    <w:p w:rsidR="00ED35F6" w:rsidRDefault="00ED35F6">
      <w:pPr>
        <w:pStyle w:val="ConsPlusNormal"/>
        <w:spacing w:before="220"/>
        <w:ind w:firstLine="540"/>
        <w:jc w:val="both"/>
      </w:pPr>
      <w:r>
        <w:t>15. Внесение изменений в Схему осуществляется по мере необходимости.</w:t>
      </w:r>
    </w:p>
    <w:p w:rsidR="00ED35F6" w:rsidRDefault="00ED35F6">
      <w:pPr>
        <w:pStyle w:val="ConsPlusNormal"/>
        <w:jc w:val="both"/>
      </w:pPr>
      <w:r>
        <w:t xml:space="preserve">(п. 15 в ред. </w:t>
      </w:r>
      <w:hyperlink r:id="rId22">
        <w:r>
          <w:rPr>
            <w:color w:val="0000FF"/>
          </w:rPr>
          <w:t>Приказа</w:t>
        </w:r>
      </w:hyperlink>
      <w:r>
        <w:t xml:space="preserve"> Минсельхоза Республики Коми от 18.05.2021 N 467)</w:t>
      </w:r>
    </w:p>
    <w:p w:rsidR="00ED35F6" w:rsidRDefault="00ED35F6">
      <w:pPr>
        <w:pStyle w:val="ConsPlusNormal"/>
        <w:spacing w:before="220"/>
        <w:ind w:firstLine="540"/>
        <w:jc w:val="both"/>
      </w:pPr>
      <w:r>
        <w:t>16. Изменения и дополнения в Схему вносятся при возникновении следующих оснований:</w:t>
      </w:r>
    </w:p>
    <w:p w:rsidR="00ED35F6" w:rsidRDefault="00ED35F6">
      <w:pPr>
        <w:pStyle w:val="ConsPlusNormal"/>
        <w:spacing w:before="220"/>
        <w:ind w:firstLine="540"/>
        <w:jc w:val="both"/>
      </w:pPr>
      <w:r>
        <w:t>новая застройка районов, микрорайонов, иных территорий населенных пунктов муниципальных образований;</w:t>
      </w:r>
    </w:p>
    <w:p w:rsidR="00ED35F6" w:rsidRDefault="00ED35F6">
      <w:pPr>
        <w:pStyle w:val="ConsPlusNormal"/>
        <w:spacing w:before="220"/>
        <w:ind w:firstLine="540"/>
        <w:jc w:val="both"/>
      </w:pPr>
      <w:r>
        <w:t>ремонт и реконструкция автомобильных дорог;</w:t>
      </w:r>
    </w:p>
    <w:p w:rsidR="00ED35F6" w:rsidRDefault="00ED35F6">
      <w:pPr>
        <w:pStyle w:val="ConsPlusNormal"/>
        <w:spacing w:before="220"/>
        <w:ind w:firstLine="540"/>
        <w:jc w:val="both"/>
      </w:pPr>
      <w:r>
        <w:t>прекращение, перепрофилирование деятельности стационарных торговых объектов, повлекшие снижение обеспеченности до уровня ниже установленного норматива минимальной обеспеченности населения площадью торговых объектов;</w:t>
      </w:r>
    </w:p>
    <w:p w:rsidR="00ED35F6" w:rsidRDefault="00ED35F6">
      <w:pPr>
        <w:pStyle w:val="ConsPlusNormal"/>
        <w:spacing w:before="220"/>
        <w:ind w:firstLine="540"/>
        <w:jc w:val="both"/>
      </w:pPr>
      <w:r>
        <w:t>поступление мотивированных предложений от исполнительных органов государственной власти Республики Коми, органов местного самоуправления в Республике Коми, обращений юридических лиц и индивидуальных предпринимателей, а также от некоммерческих организаций, выражающих интересы субъектов малого и среднего предпринимательства;</w:t>
      </w:r>
    </w:p>
    <w:p w:rsidR="00ED35F6" w:rsidRDefault="00ED35F6">
      <w:pPr>
        <w:pStyle w:val="ConsPlusNormal"/>
        <w:spacing w:before="220"/>
        <w:ind w:firstLine="540"/>
        <w:jc w:val="both"/>
      </w:pPr>
      <w:r>
        <w:t xml:space="preserve">необходимость </w:t>
      </w:r>
      <w:proofErr w:type="gramStart"/>
      <w:r>
        <w:t>расширения каналов реализации продукции местных товаропроизводителей</w:t>
      </w:r>
      <w:proofErr w:type="gramEnd"/>
      <w:r>
        <w:t>;</w:t>
      </w:r>
    </w:p>
    <w:p w:rsidR="00ED35F6" w:rsidRDefault="00ED35F6">
      <w:pPr>
        <w:pStyle w:val="ConsPlusNormal"/>
        <w:spacing w:before="220"/>
        <w:ind w:firstLine="540"/>
        <w:jc w:val="both"/>
      </w:pPr>
      <w:r>
        <w:t>изъятие земельных участков для государственных или муниципальных нужд.</w:t>
      </w:r>
    </w:p>
    <w:p w:rsidR="00ED35F6" w:rsidRDefault="00ED35F6">
      <w:pPr>
        <w:pStyle w:val="ConsPlusNormal"/>
        <w:spacing w:before="220"/>
        <w:ind w:firstLine="540"/>
        <w:jc w:val="both"/>
      </w:pPr>
      <w:r>
        <w:t>17. Утвержденная уполномоченным органом местного самоуправления Схема и вносимые в нее изменения подлежат опубликованию в порядке, установленном для официального опубликования муниципальных правовых актов, а также размещению на официальном сайте уполномоченного органа местного самоуправления в информационно-телекоммуникационной сети "Интернет".</w:t>
      </w:r>
    </w:p>
    <w:p w:rsidR="00ED35F6" w:rsidRDefault="00ED35F6">
      <w:pPr>
        <w:pStyle w:val="ConsPlusNormal"/>
        <w:jc w:val="both"/>
      </w:pPr>
      <w:r>
        <w:t>(</w:t>
      </w:r>
      <w:proofErr w:type="gramStart"/>
      <w:r>
        <w:t>п</w:t>
      </w:r>
      <w:proofErr w:type="gramEnd"/>
      <w:r>
        <w:t xml:space="preserve">. 17 в ред. </w:t>
      </w:r>
      <w:hyperlink r:id="rId23">
        <w:r>
          <w:rPr>
            <w:color w:val="0000FF"/>
          </w:rPr>
          <w:t>Приказа</w:t>
        </w:r>
      </w:hyperlink>
      <w:r>
        <w:t xml:space="preserve"> Минсельхоза Республики Коми от 27.03.2023 N 141)</w:t>
      </w:r>
    </w:p>
    <w:p w:rsidR="00ED35F6" w:rsidRDefault="00ED35F6">
      <w:pPr>
        <w:pStyle w:val="ConsPlusNormal"/>
        <w:spacing w:before="220"/>
        <w:ind w:firstLine="540"/>
        <w:jc w:val="both"/>
      </w:pPr>
      <w:r>
        <w:t xml:space="preserve">18. </w:t>
      </w:r>
      <w:proofErr w:type="gramStart"/>
      <w:r>
        <w:t>В десятидневный срок после утверждения Схемы или внесения в нее изменений орган местного самоуправления информирует Министерство сельского хозяйства и потребительского рынка Республики Коми (далее - Министерство) об утверждении или актуализации Схемы и представляет утвержденную (актуализированную) Схему в электронном виде и на бумажном носителе для опубликования Схемы на официальном сайте Министерства в информационно-телекоммуникационной сети "Интернет".</w:t>
      </w:r>
      <w:proofErr w:type="gramEnd"/>
    </w:p>
    <w:p w:rsidR="00ED35F6" w:rsidRDefault="00ED35F6">
      <w:pPr>
        <w:pStyle w:val="ConsPlusNormal"/>
        <w:jc w:val="both"/>
      </w:pPr>
      <w:r>
        <w:t>(</w:t>
      </w:r>
      <w:proofErr w:type="gramStart"/>
      <w:r>
        <w:t>п</w:t>
      </w:r>
      <w:proofErr w:type="gramEnd"/>
      <w:r>
        <w:t xml:space="preserve">. 18 в ред. </w:t>
      </w:r>
      <w:hyperlink r:id="rId24">
        <w:r>
          <w:rPr>
            <w:color w:val="0000FF"/>
          </w:rPr>
          <w:t>Приказа</w:t>
        </w:r>
      </w:hyperlink>
      <w:r>
        <w:t xml:space="preserve"> Минсельхоза Республики Коми от 27.03.2023 N 141)</w:t>
      </w:r>
    </w:p>
    <w:p w:rsidR="00ED35F6" w:rsidRDefault="00ED35F6">
      <w:pPr>
        <w:pStyle w:val="ConsPlusNormal"/>
        <w:spacing w:before="220"/>
        <w:ind w:firstLine="540"/>
        <w:jc w:val="both"/>
      </w:pPr>
      <w:hyperlink r:id="rId25">
        <w:r>
          <w:rPr>
            <w:color w:val="0000FF"/>
          </w:rPr>
          <w:t>19</w:t>
        </w:r>
      </w:hyperlink>
      <w:r>
        <w:t>. Утверждение Схем, внесение в них изменений не является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указанных Схем.</w:t>
      </w:r>
    </w:p>
    <w:p w:rsidR="00ED35F6" w:rsidRDefault="00ED35F6">
      <w:pPr>
        <w:pStyle w:val="ConsPlusNormal"/>
        <w:jc w:val="both"/>
      </w:pPr>
      <w:r>
        <w:t xml:space="preserve">(п. 19 в ред. </w:t>
      </w:r>
      <w:hyperlink r:id="rId26">
        <w:r>
          <w:rPr>
            <w:color w:val="0000FF"/>
          </w:rPr>
          <w:t>Приказа</w:t>
        </w:r>
      </w:hyperlink>
      <w:r>
        <w:t xml:space="preserve"> Минсельхоза Республики Коми от 27.03.2023 N 141)</w:t>
      </w:r>
    </w:p>
    <w:p w:rsidR="00ED35F6" w:rsidRDefault="00ED35F6">
      <w:pPr>
        <w:pStyle w:val="ConsPlusNormal"/>
      </w:pPr>
    </w:p>
    <w:p w:rsidR="00ED35F6" w:rsidRDefault="00ED35F6">
      <w:pPr>
        <w:pStyle w:val="ConsPlusNormal"/>
      </w:pPr>
    </w:p>
    <w:p w:rsidR="00ED35F6" w:rsidRDefault="00ED35F6">
      <w:pPr>
        <w:pStyle w:val="ConsPlusNormal"/>
      </w:pPr>
    </w:p>
    <w:p w:rsidR="00ED35F6" w:rsidRDefault="00ED35F6">
      <w:pPr>
        <w:pStyle w:val="ConsPlusNormal"/>
      </w:pPr>
    </w:p>
    <w:p w:rsidR="00ED35F6" w:rsidRDefault="00ED35F6">
      <w:pPr>
        <w:pStyle w:val="ConsPlusNormal"/>
      </w:pPr>
    </w:p>
    <w:p w:rsidR="00ED35F6" w:rsidRDefault="00ED35F6">
      <w:pPr>
        <w:pStyle w:val="ConsPlusNormal"/>
        <w:jc w:val="right"/>
        <w:outlineLvl w:val="1"/>
      </w:pPr>
      <w:r>
        <w:t>Приложение</w:t>
      </w:r>
    </w:p>
    <w:p w:rsidR="00ED35F6" w:rsidRDefault="00ED35F6">
      <w:pPr>
        <w:pStyle w:val="ConsPlusNormal"/>
        <w:jc w:val="right"/>
      </w:pPr>
      <w:r>
        <w:t>к Порядку</w:t>
      </w:r>
    </w:p>
    <w:p w:rsidR="00ED35F6" w:rsidRDefault="00ED35F6">
      <w:pPr>
        <w:pStyle w:val="ConsPlusNormal"/>
        <w:jc w:val="right"/>
      </w:pPr>
      <w:r>
        <w:t>разработки и утверждения схем</w:t>
      </w:r>
    </w:p>
    <w:p w:rsidR="00ED35F6" w:rsidRDefault="00ED35F6">
      <w:pPr>
        <w:pStyle w:val="ConsPlusNormal"/>
        <w:jc w:val="right"/>
      </w:pPr>
      <w:r>
        <w:t xml:space="preserve">размещения </w:t>
      </w:r>
      <w:proofErr w:type="gramStart"/>
      <w:r>
        <w:t>нестационарных</w:t>
      </w:r>
      <w:proofErr w:type="gramEnd"/>
    </w:p>
    <w:p w:rsidR="00ED35F6" w:rsidRDefault="00ED35F6">
      <w:pPr>
        <w:pStyle w:val="ConsPlusNormal"/>
        <w:jc w:val="right"/>
      </w:pPr>
      <w:r>
        <w:t>торговых объектов</w:t>
      </w:r>
    </w:p>
    <w:p w:rsidR="00ED35F6" w:rsidRDefault="00ED35F6">
      <w:pPr>
        <w:pStyle w:val="ConsPlusNormal"/>
        <w:jc w:val="right"/>
      </w:pPr>
      <w:r>
        <w:t>на территории</w:t>
      </w:r>
    </w:p>
    <w:p w:rsidR="00ED35F6" w:rsidRDefault="00ED35F6">
      <w:pPr>
        <w:pStyle w:val="ConsPlusNormal"/>
        <w:jc w:val="right"/>
      </w:pPr>
      <w:r>
        <w:t>муниципальных образований</w:t>
      </w:r>
    </w:p>
    <w:p w:rsidR="00ED35F6" w:rsidRDefault="00ED35F6">
      <w:pPr>
        <w:pStyle w:val="ConsPlusNormal"/>
        <w:jc w:val="right"/>
      </w:pPr>
      <w:r>
        <w:t>Республики Коми</w:t>
      </w:r>
    </w:p>
    <w:p w:rsidR="00ED35F6" w:rsidRDefault="00ED35F6">
      <w:pPr>
        <w:pStyle w:val="ConsPlusNormal"/>
      </w:pPr>
    </w:p>
    <w:p w:rsidR="00ED35F6" w:rsidRDefault="00ED35F6">
      <w:pPr>
        <w:pStyle w:val="ConsPlusNonformat"/>
        <w:jc w:val="both"/>
      </w:pPr>
      <w:bookmarkStart w:id="2" w:name="P115"/>
      <w:bookmarkEnd w:id="2"/>
      <w:r>
        <w:t xml:space="preserve">                                   СХЕМА</w:t>
      </w:r>
    </w:p>
    <w:p w:rsidR="00ED35F6" w:rsidRDefault="00ED35F6">
      <w:pPr>
        <w:pStyle w:val="ConsPlusNonformat"/>
        <w:jc w:val="both"/>
      </w:pPr>
      <w:r>
        <w:t xml:space="preserve">         размещения нестационарных торговых объектов на территории</w:t>
      </w:r>
    </w:p>
    <w:p w:rsidR="00ED35F6" w:rsidRDefault="00ED35F6">
      <w:pPr>
        <w:pStyle w:val="ConsPlusNonformat"/>
        <w:jc w:val="both"/>
      </w:pPr>
    </w:p>
    <w:p w:rsidR="00ED35F6" w:rsidRDefault="00ED35F6">
      <w:pPr>
        <w:pStyle w:val="ConsPlusNonformat"/>
        <w:jc w:val="both"/>
      </w:pPr>
      <w:r>
        <w:t xml:space="preserve">         _________________________________________________________</w:t>
      </w:r>
    </w:p>
    <w:p w:rsidR="00ED35F6" w:rsidRDefault="00ED35F6">
      <w:pPr>
        <w:pStyle w:val="ConsPlusNonformat"/>
        <w:jc w:val="both"/>
      </w:pPr>
      <w:r>
        <w:t xml:space="preserve">         (наименование муниципального образования Республики Коми)</w:t>
      </w:r>
    </w:p>
    <w:p w:rsidR="00ED35F6" w:rsidRDefault="00ED35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6"/>
        <w:gridCol w:w="1134"/>
        <w:gridCol w:w="1134"/>
        <w:gridCol w:w="1134"/>
        <w:gridCol w:w="1246"/>
        <w:gridCol w:w="1247"/>
        <w:gridCol w:w="1357"/>
        <w:gridCol w:w="1247"/>
      </w:tblGrid>
      <w:tr w:rsidR="00ED35F6">
        <w:tc>
          <w:tcPr>
            <w:tcW w:w="526" w:type="dxa"/>
          </w:tcPr>
          <w:p w:rsidR="00ED35F6" w:rsidRDefault="00ED35F6">
            <w:pPr>
              <w:pStyle w:val="ConsPlusNormal"/>
              <w:jc w:val="center"/>
            </w:pPr>
            <w:r>
              <w:t xml:space="preserve">N </w:t>
            </w:r>
            <w:proofErr w:type="gramStart"/>
            <w:r>
              <w:t>п</w:t>
            </w:r>
            <w:proofErr w:type="gramEnd"/>
            <w:r>
              <w:t>/п</w:t>
            </w:r>
          </w:p>
        </w:tc>
        <w:tc>
          <w:tcPr>
            <w:tcW w:w="1134" w:type="dxa"/>
          </w:tcPr>
          <w:p w:rsidR="00ED35F6" w:rsidRDefault="00ED35F6">
            <w:pPr>
              <w:pStyle w:val="ConsPlusNormal"/>
              <w:jc w:val="center"/>
            </w:pPr>
            <w:r>
              <w:t>Место нахождения нестационарного торгового объекта (адрес)</w:t>
            </w:r>
          </w:p>
        </w:tc>
        <w:tc>
          <w:tcPr>
            <w:tcW w:w="1134" w:type="dxa"/>
          </w:tcPr>
          <w:p w:rsidR="00ED35F6" w:rsidRDefault="00ED35F6">
            <w:pPr>
              <w:pStyle w:val="ConsPlusNormal"/>
              <w:jc w:val="center"/>
            </w:pPr>
            <w:r>
              <w:t>Вид нестационарного торгового объекта</w:t>
            </w:r>
          </w:p>
        </w:tc>
        <w:tc>
          <w:tcPr>
            <w:tcW w:w="1134" w:type="dxa"/>
          </w:tcPr>
          <w:p w:rsidR="00ED35F6" w:rsidRDefault="00ED35F6">
            <w:pPr>
              <w:pStyle w:val="ConsPlusNormal"/>
              <w:jc w:val="center"/>
            </w:pPr>
            <w:r>
              <w:t>Специализация (ассортимент реализуемых товаров)</w:t>
            </w:r>
          </w:p>
        </w:tc>
        <w:tc>
          <w:tcPr>
            <w:tcW w:w="1246" w:type="dxa"/>
          </w:tcPr>
          <w:p w:rsidR="00ED35F6" w:rsidRDefault="00ED35F6">
            <w:pPr>
              <w:pStyle w:val="ConsPlusNormal"/>
              <w:jc w:val="center"/>
            </w:pPr>
            <w:r>
              <w:t>Площадь нестационарного торгового объекта, кв.м</w:t>
            </w:r>
          </w:p>
        </w:tc>
        <w:tc>
          <w:tcPr>
            <w:tcW w:w="1247" w:type="dxa"/>
          </w:tcPr>
          <w:p w:rsidR="00ED35F6" w:rsidRDefault="00ED35F6">
            <w:pPr>
              <w:pStyle w:val="ConsPlusNormal"/>
              <w:jc w:val="center"/>
            </w:pPr>
            <w:r>
              <w:t>Площадь земельного участка (здания, строения, сооружения), кв.м</w:t>
            </w:r>
          </w:p>
        </w:tc>
        <w:tc>
          <w:tcPr>
            <w:tcW w:w="1357" w:type="dxa"/>
          </w:tcPr>
          <w:p w:rsidR="00ED35F6" w:rsidRDefault="00ED35F6">
            <w:pPr>
              <w:pStyle w:val="ConsPlusNormal"/>
              <w:jc w:val="center"/>
            </w:pPr>
            <w:r>
              <w:t>Собственник земельного участка, на котором расположен нестационарный торговый объект</w:t>
            </w:r>
          </w:p>
        </w:tc>
        <w:tc>
          <w:tcPr>
            <w:tcW w:w="1247" w:type="dxa"/>
          </w:tcPr>
          <w:p w:rsidR="00ED35F6" w:rsidRDefault="00ED35F6">
            <w:pPr>
              <w:pStyle w:val="ConsPlusNormal"/>
              <w:jc w:val="center"/>
            </w:pPr>
            <w:r>
              <w:t>Срок, период размещения нестационарного торгового объекта</w:t>
            </w:r>
          </w:p>
        </w:tc>
      </w:tr>
      <w:tr w:rsidR="00ED35F6">
        <w:tc>
          <w:tcPr>
            <w:tcW w:w="526" w:type="dxa"/>
          </w:tcPr>
          <w:p w:rsidR="00ED35F6" w:rsidRDefault="00ED35F6">
            <w:pPr>
              <w:pStyle w:val="ConsPlusNormal"/>
              <w:jc w:val="center"/>
            </w:pPr>
            <w:r>
              <w:t>1</w:t>
            </w:r>
          </w:p>
        </w:tc>
        <w:tc>
          <w:tcPr>
            <w:tcW w:w="1134" w:type="dxa"/>
          </w:tcPr>
          <w:p w:rsidR="00ED35F6" w:rsidRDefault="00ED35F6">
            <w:pPr>
              <w:pStyle w:val="ConsPlusNormal"/>
              <w:jc w:val="center"/>
            </w:pPr>
            <w:r>
              <w:t>2</w:t>
            </w:r>
          </w:p>
        </w:tc>
        <w:tc>
          <w:tcPr>
            <w:tcW w:w="1134" w:type="dxa"/>
          </w:tcPr>
          <w:p w:rsidR="00ED35F6" w:rsidRDefault="00ED35F6">
            <w:pPr>
              <w:pStyle w:val="ConsPlusNormal"/>
              <w:jc w:val="center"/>
            </w:pPr>
            <w:r>
              <w:t>3</w:t>
            </w:r>
          </w:p>
        </w:tc>
        <w:tc>
          <w:tcPr>
            <w:tcW w:w="1134" w:type="dxa"/>
          </w:tcPr>
          <w:p w:rsidR="00ED35F6" w:rsidRDefault="00ED35F6">
            <w:pPr>
              <w:pStyle w:val="ConsPlusNormal"/>
              <w:jc w:val="center"/>
            </w:pPr>
            <w:r>
              <w:t>4</w:t>
            </w:r>
          </w:p>
        </w:tc>
        <w:tc>
          <w:tcPr>
            <w:tcW w:w="1246" w:type="dxa"/>
          </w:tcPr>
          <w:p w:rsidR="00ED35F6" w:rsidRDefault="00ED35F6">
            <w:pPr>
              <w:pStyle w:val="ConsPlusNormal"/>
              <w:jc w:val="center"/>
            </w:pPr>
            <w:r>
              <w:t>5</w:t>
            </w:r>
          </w:p>
        </w:tc>
        <w:tc>
          <w:tcPr>
            <w:tcW w:w="1247" w:type="dxa"/>
          </w:tcPr>
          <w:p w:rsidR="00ED35F6" w:rsidRDefault="00ED35F6">
            <w:pPr>
              <w:pStyle w:val="ConsPlusNormal"/>
              <w:jc w:val="center"/>
            </w:pPr>
            <w:r>
              <w:t>6</w:t>
            </w:r>
          </w:p>
        </w:tc>
        <w:tc>
          <w:tcPr>
            <w:tcW w:w="1357" w:type="dxa"/>
          </w:tcPr>
          <w:p w:rsidR="00ED35F6" w:rsidRDefault="00ED35F6">
            <w:pPr>
              <w:pStyle w:val="ConsPlusNormal"/>
              <w:jc w:val="center"/>
            </w:pPr>
            <w:r>
              <w:t>7</w:t>
            </w:r>
          </w:p>
        </w:tc>
        <w:tc>
          <w:tcPr>
            <w:tcW w:w="1247" w:type="dxa"/>
          </w:tcPr>
          <w:p w:rsidR="00ED35F6" w:rsidRDefault="00ED35F6">
            <w:pPr>
              <w:pStyle w:val="ConsPlusNormal"/>
              <w:jc w:val="center"/>
            </w:pPr>
            <w:r>
              <w:t>8</w:t>
            </w:r>
          </w:p>
        </w:tc>
      </w:tr>
      <w:tr w:rsidR="00ED35F6">
        <w:tc>
          <w:tcPr>
            <w:tcW w:w="526" w:type="dxa"/>
          </w:tcPr>
          <w:p w:rsidR="00ED35F6" w:rsidRDefault="00ED35F6">
            <w:pPr>
              <w:pStyle w:val="ConsPlusNormal"/>
            </w:pPr>
          </w:p>
        </w:tc>
        <w:tc>
          <w:tcPr>
            <w:tcW w:w="1134" w:type="dxa"/>
          </w:tcPr>
          <w:p w:rsidR="00ED35F6" w:rsidRDefault="00ED35F6">
            <w:pPr>
              <w:pStyle w:val="ConsPlusNormal"/>
            </w:pPr>
          </w:p>
        </w:tc>
        <w:tc>
          <w:tcPr>
            <w:tcW w:w="1134" w:type="dxa"/>
          </w:tcPr>
          <w:p w:rsidR="00ED35F6" w:rsidRDefault="00ED35F6">
            <w:pPr>
              <w:pStyle w:val="ConsPlusNormal"/>
            </w:pPr>
          </w:p>
        </w:tc>
        <w:tc>
          <w:tcPr>
            <w:tcW w:w="1134" w:type="dxa"/>
          </w:tcPr>
          <w:p w:rsidR="00ED35F6" w:rsidRDefault="00ED35F6">
            <w:pPr>
              <w:pStyle w:val="ConsPlusNormal"/>
            </w:pPr>
          </w:p>
        </w:tc>
        <w:tc>
          <w:tcPr>
            <w:tcW w:w="1246" w:type="dxa"/>
          </w:tcPr>
          <w:p w:rsidR="00ED35F6" w:rsidRDefault="00ED35F6">
            <w:pPr>
              <w:pStyle w:val="ConsPlusNormal"/>
            </w:pPr>
          </w:p>
        </w:tc>
        <w:tc>
          <w:tcPr>
            <w:tcW w:w="1247" w:type="dxa"/>
          </w:tcPr>
          <w:p w:rsidR="00ED35F6" w:rsidRDefault="00ED35F6">
            <w:pPr>
              <w:pStyle w:val="ConsPlusNormal"/>
            </w:pPr>
          </w:p>
        </w:tc>
        <w:tc>
          <w:tcPr>
            <w:tcW w:w="1357" w:type="dxa"/>
          </w:tcPr>
          <w:p w:rsidR="00ED35F6" w:rsidRDefault="00ED35F6">
            <w:pPr>
              <w:pStyle w:val="ConsPlusNormal"/>
            </w:pPr>
          </w:p>
        </w:tc>
        <w:tc>
          <w:tcPr>
            <w:tcW w:w="1247" w:type="dxa"/>
          </w:tcPr>
          <w:p w:rsidR="00ED35F6" w:rsidRDefault="00ED35F6">
            <w:pPr>
              <w:pStyle w:val="ConsPlusNormal"/>
            </w:pPr>
          </w:p>
        </w:tc>
      </w:tr>
    </w:tbl>
    <w:p w:rsidR="00ED35F6" w:rsidRDefault="00ED35F6">
      <w:pPr>
        <w:pStyle w:val="ConsPlusNormal"/>
      </w:pPr>
    </w:p>
    <w:p w:rsidR="00ED35F6" w:rsidRDefault="00ED35F6">
      <w:pPr>
        <w:pStyle w:val="ConsPlusNormal"/>
      </w:pPr>
    </w:p>
    <w:p w:rsidR="00ED35F6" w:rsidRDefault="00ED35F6">
      <w:pPr>
        <w:pStyle w:val="ConsPlusNormal"/>
        <w:pBdr>
          <w:bottom w:val="single" w:sz="6" w:space="0" w:color="auto"/>
        </w:pBdr>
        <w:spacing w:before="100" w:after="100"/>
        <w:jc w:val="both"/>
        <w:rPr>
          <w:sz w:val="2"/>
          <w:szCs w:val="2"/>
        </w:rPr>
      </w:pPr>
    </w:p>
    <w:p w:rsidR="009333EB" w:rsidRDefault="009333EB"/>
    <w:sectPr w:rsidR="009333EB" w:rsidSect="00ED35F6">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5F6"/>
    <w:rsid w:val="009333EB"/>
    <w:rsid w:val="00ED3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35F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D35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D35F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D35F6"/>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35F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D35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D35F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D35F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96&amp;n=213434&amp;dst=100005" TargetMode="External"/><Relationship Id="rId13" Type="http://schemas.openxmlformats.org/officeDocument/2006/relationships/hyperlink" Target="https://login.consultant.ru/link/?req=doc&amp;base=RLAW096&amp;n=188695&amp;dst=100006" TargetMode="External"/><Relationship Id="rId18" Type="http://schemas.openxmlformats.org/officeDocument/2006/relationships/hyperlink" Target="https://login.consultant.ru/link/?req=doc&amp;base=LAW&amp;n=438499" TargetMode="External"/><Relationship Id="rId26" Type="http://schemas.openxmlformats.org/officeDocument/2006/relationships/hyperlink" Target="https://login.consultant.ru/link/?req=doc&amp;base=RLAW096&amp;n=217471&amp;dst=100015" TargetMode="External"/><Relationship Id="rId3" Type="http://schemas.openxmlformats.org/officeDocument/2006/relationships/settings" Target="settings.xml"/><Relationship Id="rId21" Type="http://schemas.openxmlformats.org/officeDocument/2006/relationships/hyperlink" Target="https://login.consultant.ru/link/?req=doc&amp;base=RLAW096&amp;n=188695&amp;dst=100007" TargetMode="External"/><Relationship Id="rId7" Type="http://schemas.openxmlformats.org/officeDocument/2006/relationships/hyperlink" Target="https://login.consultant.ru/link/?req=doc&amp;base=RLAW096&amp;n=190418&amp;dst=100005" TargetMode="External"/><Relationship Id="rId12" Type="http://schemas.openxmlformats.org/officeDocument/2006/relationships/hyperlink" Target="https://login.consultant.ru/link/?req=doc&amp;base=RLAW096&amp;n=217471&amp;dst=100006" TargetMode="External"/><Relationship Id="rId17" Type="http://schemas.openxmlformats.org/officeDocument/2006/relationships/hyperlink" Target="https://login.consultant.ru/link/?req=doc&amp;base=LAW&amp;n=454235&amp;dst=100117" TargetMode="External"/><Relationship Id="rId25" Type="http://schemas.openxmlformats.org/officeDocument/2006/relationships/hyperlink" Target="https://login.consultant.ru/link/?req=doc&amp;base=RLAW096&amp;n=217471&amp;dst=100015" TargetMode="External"/><Relationship Id="rId2" Type="http://schemas.microsoft.com/office/2007/relationships/stylesWithEffects" Target="stylesWithEffects.xml"/><Relationship Id="rId16" Type="http://schemas.openxmlformats.org/officeDocument/2006/relationships/hyperlink" Target="https://login.consultant.ru/link/?req=doc&amp;base=RLAW096&amp;n=217471&amp;dst=100008" TargetMode="External"/><Relationship Id="rId20" Type="http://schemas.openxmlformats.org/officeDocument/2006/relationships/hyperlink" Target="https://login.consultant.ru/link/?req=doc&amp;base=RLAW096&amp;n=213434&amp;dst=100007" TargetMode="External"/><Relationship Id="rId1" Type="http://schemas.openxmlformats.org/officeDocument/2006/relationships/styles" Target="styles.xml"/><Relationship Id="rId6" Type="http://schemas.openxmlformats.org/officeDocument/2006/relationships/hyperlink" Target="https://login.consultant.ru/link/?req=doc&amp;base=RLAW096&amp;n=188695&amp;dst=100005" TargetMode="External"/><Relationship Id="rId11" Type="http://schemas.openxmlformats.org/officeDocument/2006/relationships/hyperlink" Target="https://login.consultant.ru/link/?req=doc&amp;base=RLAW096&amp;n=131083" TargetMode="External"/><Relationship Id="rId24" Type="http://schemas.openxmlformats.org/officeDocument/2006/relationships/hyperlink" Target="https://login.consultant.ru/link/?req=doc&amp;base=RLAW096&amp;n=217471&amp;dst=100013"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96&amp;n=213434&amp;dst=100006" TargetMode="External"/><Relationship Id="rId23" Type="http://schemas.openxmlformats.org/officeDocument/2006/relationships/hyperlink" Target="https://login.consultant.ru/link/?req=doc&amp;base=RLAW096&amp;n=217471&amp;dst=100011" TargetMode="External"/><Relationship Id="rId28" Type="http://schemas.openxmlformats.org/officeDocument/2006/relationships/theme" Target="theme/theme1.xml"/><Relationship Id="rId10" Type="http://schemas.openxmlformats.org/officeDocument/2006/relationships/hyperlink" Target="https://login.consultant.ru/link/?req=doc&amp;base=LAW&amp;n=454235&amp;dst=100117" TargetMode="External"/><Relationship Id="rId19" Type="http://schemas.openxmlformats.org/officeDocument/2006/relationships/hyperlink" Target="https://login.consultant.ru/link/?req=doc&amp;base=RLAW096&amp;n=217471&amp;dst=100009" TargetMode="External"/><Relationship Id="rId4" Type="http://schemas.openxmlformats.org/officeDocument/2006/relationships/webSettings" Target="webSettings.xml"/><Relationship Id="rId9" Type="http://schemas.openxmlformats.org/officeDocument/2006/relationships/hyperlink" Target="https://login.consultant.ru/link/?req=doc&amp;base=RLAW096&amp;n=217471&amp;dst=100005" TargetMode="External"/><Relationship Id="rId14" Type="http://schemas.openxmlformats.org/officeDocument/2006/relationships/hyperlink" Target="https://login.consultant.ru/link/?req=doc&amp;base=RLAW096&amp;n=190418&amp;dst=100006" TargetMode="External"/><Relationship Id="rId22" Type="http://schemas.openxmlformats.org/officeDocument/2006/relationships/hyperlink" Target="https://login.consultant.ru/link/?req=doc&amp;base=RLAW096&amp;n=190418&amp;dst=10000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2104</Words>
  <Characters>11999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Михина Ю.В.</dc:creator>
  <cp:lastModifiedBy>Михина Ю.В.</cp:lastModifiedBy>
  <cp:revision>1</cp:revision>
  <dcterms:created xsi:type="dcterms:W3CDTF">2024-04-22T09:51:00Z</dcterms:created>
  <dcterms:modified xsi:type="dcterms:W3CDTF">2024-04-22T09:53:00Z</dcterms:modified>
</cp:coreProperties>
</file>